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b1b9b12064684b21"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24205</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USTANOVA ZA UPRAVLJANJE ŠPORTSKO-REKREACIJSKIM CENTROM VELIKA GORICA</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21</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VI 2026.</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1.089.292,34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1.360.219,29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124,9</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928.831,35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853.710,17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91,9</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POSLOVANJA (šifre 6-Z005)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160.460,99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506.509,12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315,7</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7.722,66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13.613,11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176,3</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7.722,66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13.613,11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176,3</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VIŠAK/MANJAK PRIMITAKA OD FINANCIJSKE IMOVINE I ZADUŽIVANJA (šifre 8-5,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X003, 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I PRIMITAKA (šifre X678-Y345)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152.738,33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492.896,01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322,7</w:t>
            </w:r>
          </w:p>
        </w:tc>
      </w:tr>
    </w:tbl>
    <w:p>
      <w:pPr>
        <w:spacing w:before="0" w:after="0"/>
      </w:pPr>
    </w:p>
    <w:p>
      <w:r>
        <w:t xml:space="preserve">Iskazani i ostvareni višak prihoda poslovanja (šifra X001) rezultat je povećanih prihoda poslovanja (šifra 6) to proizlazi iz plaćenih obveza iz 2025. godine u 2026. godini, a odnosi se na obveze koje se financiraju iz općih prihoda i primitaka te obveza iz 2026. godine za dio nabave nefinancijske imovine koja je plaćena a financira se iz općih prihoda i primitaka (plaćene obveze za nabavu imovine - knjiženje kao prihod poslovanja-konto 6712). Ukupan višak prihoda i primitaka (šifra X005) rezultat povećanja prihoda poslovanja zbog plaćenih obveza iz 2025. godine.</w:t>
      </w:r>
    </w:p>
    <w:p>
      <w:r>
        <w:br/>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1.089.292,34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1.360.219,29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124,9</w:t>
            </w:r>
          </w:p>
        </w:tc>
      </w:tr>
    </w:tbl>
    <w:p>
      <w:pPr>
        <w:spacing w:before="0" w:after="0"/>
      </w:pPr>
    </w:p>
    <w:p>
      <w:r>
        <w:t xml:space="preserve">Povećanje prihoda poslovanja u odnosu na ostvareno u izvještajnom razdoblju prethodne godine proizlazi iz povećanja neplaćenih obveza (rashoda) iz 2025. godine u odnosu na neplaćene obveze iz 2024. a plaćene u 2025. godini koje se financiraju iz općih prihoda i primitaka.  </w:t>
      </w:r>
    </w:p>
    <w:p/>
    <w:p>
      <w:pPr>
        <w:jc w:val="center"/>
        <w:pStyle w:val="Normal"/>
        <w:spacing w:line="240" w:lineRule="auto"/>
        <w:keepNext/>
      </w:pPr>
      <w:r>
        <w:rPr>
          <w:sz w:val="28"/>
          <w:rFonts w:ascii="Times New Roman" w:hAnsi="Times New Roman"/>
        </w:rPr>
        <w:t xml:space="preserve">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6615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pruženih usluga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87.354,66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106.852,87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122,3</w:t>
            </w:r>
          </w:p>
        </w:tc>
      </w:tr>
    </w:tbl>
    <w:p>
      <w:pPr>
        <w:spacing w:before="0" w:after="0"/>
      </w:pPr>
    </w:p>
    <w:p>
      <w:r>
        <w:t xml:space="preserve">Povećanje prihoda od pruženih usluga u odnosu na ostvareno u izvještajnom razdoblju prethodne godine proizlazi iz povećanja broja korisnika Gradskog bazena i najma poslovnog prostora (vanjski prostor - održavanje koncerta).</w:t>
      </w:r>
    </w:p>
    <w:p/>
    <w:p>
      <w:pPr>
        <w:jc w:val="center"/>
        <w:pStyle w:val="Normal"/>
        <w:spacing w:line="240" w:lineRule="auto"/>
        <w:keepNext/>
      </w:pPr>
      <w:r>
        <w:rPr>
          <w:sz w:val="28"/>
          <w:rFonts w:ascii="Times New Roman" w:hAnsi="Times New Roman"/>
        </w:rPr>
        <w:t xml:space="preserve">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iz nadležnog proračuna za financiranje rashoda za nabavu nefinancijske imovine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58.082,69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346.350,26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596,3</w:t>
            </w:r>
          </w:p>
        </w:tc>
      </w:tr>
    </w:tbl>
    <w:p>
      <w:pPr>
        <w:spacing w:before="0" w:after="0"/>
      </w:pPr>
    </w:p>
    <w:p>
      <w:r>
        <w:t xml:space="preserve">Povećanje prihoda iz nadležnog proračuna za financiranje rashoda za nabavu nefinancijske imovine proizlazi iz plaćenih obveza na kraju 2025. godine plaćenih u 2026. godini (u većem dijelu - dodatno ulaganje - sanacija glavnog nogometnog igrališta)</w:t>
      </w:r>
    </w:p>
    <w:p/>
    <w:p>
      <w:pPr>
        <w:jc w:val="center"/>
        <w:pStyle w:val="Normal"/>
        <w:spacing w:line="240" w:lineRule="auto"/>
        <w:keepNext/>
      </w:pPr>
      <w:r>
        <w:rPr>
          <w:sz w:val="28"/>
          <w:rFonts w:ascii="Times New Roman" w:hAnsi="Times New Roman"/>
        </w:rPr>
        <w:t xml:space="preserve">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Stručno usavršavanje zaposlenika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185,90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525,50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282,7</w:t>
            </w:r>
          </w:p>
        </w:tc>
      </w:tr>
    </w:tbl>
    <w:p>
      <w:pPr>
        <w:spacing w:before="0" w:after="0"/>
      </w:pPr>
    </w:p>
    <w:p>
      <w:r>
        <w:t xml:space="preserve">Povećanje rashoda za stručno usavršavanje zaposlenika u odnosu na ostvareno u izvještajnom razdoblju prethodne godine proizlazi iz usavršavanja zaposlenika iz javne nabave u 04. mjesecu 2026. godine.</w:t>
      </w:r>
    </w:p>
    <w:p/>
    <w:p>
      <w:pPr>
        <w:jc w:val="center"/>
        <w:pStyle w:val="Normal"/>
        <w:spacing w:line="240" w:lineRule="auto"/>
        <w:keepNext/>
      </w:pPr>
      <w:r>
        <w:rPr>
          <w:sz w:val="28"/>
          <w:rFonts w:ascii="Times New Roman" w:hAnsi="Times New Roman"/>
        </w:rPr>
        <w:t xml:space="preserve">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Energija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93.166,77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115.393,41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123,9</w:t>
            </w:r>
          </w:p>
        </w:tc>
      </w:tr>
    </w:tbl>
    <w:p>
      <w:pPr>
        <w:spacing w:before="0" w:after="0"/>
      </w:pPr>
    </w:p>
    <w:p>
      <w:r>
        <w:t xml:space="preserve">Povećanje rashoda za energiju u odnosu na ostvareno u izvještajnom razdoblju prethodne godine došlo je zbog dodatnog brojila električne energije u Polivalentnoj sportskoj dvorani koju je Grad Velika Gorica dao na upravljanje Ustanovi 19.05.2026. godine</w:t>
      </w:r>
    </w:p>
    <w:p/>
    <w:p>
      <w:pPr>
        <w:jc w:val="center"/>
        <w:pStyle w:val="Normal"/>
        <w:spacing w:line="240" w:lineRule="auto"/>
        <w:keepNext/>
      </w:pPr>
      <w:r>
        <w:rPr>
          <w:sz w:val="28"/>
          <w:rFonts w:ascii="Times New Roman" w:hAnsi="Times New Roman"/>
        </w:rPr>
        <w:t xml:space="preserve">Bilješka 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Komunalne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11.771,86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18.971,42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161,2</w:t>
            </w:r>
          </w:p>
        </w:tc>
      </w:tr>
    </w:tbl>
    <w:p>
      <w:pPr>
        <w:spacing w:before="0" w:after="0"/>
      </w:pPr>
    </w:p>
    <w:p>
      <w:r>
        <w:t xml:space="preserve">Povećanje rashoda za komunalne usluge u odnosu na ostvareno u izvještajnom razdoblju prethodne godine došlo je zbog dodatnih komunalnih usluga u Polivalentnoj sportskoj dvorani koju je Grad Velika Gorica dao na upravljanje Ustanovi 19.05.2026. godine</w:t>
      </w:r>
    </w:p>
    <w:p/>
    <w:p>
      <w:pPr>
        <w:jc w:val="center"/>
        <w:pStyle w:val="Normal"/>
        <w:spacing w:line="240" w:lineRule="auto"/>
        <w:keepNext/>
      </w:pPr>
      <w:r>
        <w:rPr>
          <w:sz w:val="28"/>
          <w:rFonts w:ascii="Times New Roman" w:hAnsi="Times New Roman"/>
        </w:rPr>
        <w:t xml:space="preserve">Bilješka 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Zakupnine i najamnine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374,94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3.008,80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802,5</w:t>
            </w:r>
          </w:p>
        </w:tc>
      </w:tr>
    </w:tbl>
    <w:p>
      <w:pPr>
        <w:spacing w:before="0" w:after="0"/>
      </w:pPr>
    </w:p>
    <w:p>
      <w:r>
        <w:t xml:space="preserve">Povećanje rashoda za zakupnine i najamnine u odnosu na ostvareno u izvještajnom razdoblju prethodne godine došlo je uslijed najma utovarnog stroja za pijesak (sanacija nogometnog igrališta).</w:t>
      </w:r>
    </w:p>
    <w:p/>
    <w:p>
      <w:pPr>
        <w:jc w:val="center"/>
        <w:pStyle w:val="Normal"/>
        <w:spacing w:line="240" w:lineRule="auto"/>
        <w:keepNext/>
      </w:pPr>
      <w:r>
        <w:rPr>
          <w:sz w:val="28"/>
          <w:rFonts w:ascii="Times New Roman" w:hAnsi="Times New Roman"/>
        </w:rPr>
        <w:t xml:space="preserve">Bilješka 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1.114,86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696,8</w:t>
            </w:r>
          </w:p>
        </w:tc>
      </w:tr>
    </w:tbl>
    <w:p>
      <w:pPr>
        <w:spacing w:before="0" w:after="0"/>
      </w:pPr>
    </w:p>
    <w:p>
      <w:r>
        <w:t xml:space="preserve">Povećanje rashoda za ostale usluge u odnosu na ostvareno u izvještajnom razdoblju prethodne godine došlo je zbog načina knjiženja usluga vatrodojave koje su se u izvještajnom razdoblju prethodne godine evidentirale na kontu 3232, a prema uputi riznice Grada Velike Gorice u izvještajnom razdoblju ove godine evidentiraju se na kontu 3239.</w:t>
      </w:r>
    </w:p>
    <w:p/>
    <w:p>
      <w:pPr>
        <w:jc w:val="center"/>
        <w:pStyle w:val="Normal"/>
        <w:spacing w:line="240" w:lineRule="auto"/>
        <w:keepNext/>
      </w:pPr>
      <w:r>
        <w:rPr>
          <w:sz w:val="28"/>
          <w:rFonts w:ascii="Times New Roman" w:hAnsi="Times New Roman"/>
        </w:rPr>
        <w:t xml:space="preserve">Bilješka 10.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Bankarske usluge i usluge platnog prometa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8,55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27,71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324,1</w:t>
            </w:r>
          </w:p>
        </w:tc>
      </w:tr>
    </w:tbl>
    <w:p>
      <w:pPr>
        <w:spacing w:before="0" w:after="0"/>
      </w:pPr>
    </w:p>
    <w:p>
      <w:r>
        <w:t xml:space="preserve">Povećanje rashoda za bankarske usluge i usluge platnog prometa u odnosu na ostvareno u izvještajnom razdoblju prethodne godine proizlazi iz povećanja obračunatih kamata iz poslovnih odnosa zbog nepravovremenog plaćanja obveza. </w:t>
      </w:r>
    </w:p>
    <w:p/>
    <w:p>
      <w:pPr>
        <w:jc w:val="center"/>
        <w:pStyle w:val="Normal"/>
        <w:spacing w:line="240" w:lineRule="auto"/>
        <w:keepNext/>
      </w:pPr>
      <w:r>
        <w:rPr>
          <w:sz w:val="28"/>
          <w:rFonts w:ascii="Times New Roman" w:hAnsi="Times New Roman"/>
        </w:rPr>
        <w:t xml:space="preserve">Bilješka 11.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Uredska oprema i namještaj</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345,00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1.075,99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311,9</w:t>
            </w:r>
          </w:p>
        </w:tc>
      </w:tr>
    </w:tbl>
    <w:p>
      <w:pPr>
        <w:spacing w:before="0" w:after="0"/>
      </w:pPr>
    </w:p>
    <w:p>
      <w:r>
        <w:t xml:space="preserve">Povećanje rashoda za uredsku opremu i namještaj u odnosu na ostvareno u izvještajnom razdoblju prethodne godine proizlazi iz nabave uredskih stolica za Gradski bazen.</w:t>
      </w:r>
    </w:p>
    <w:p/>
    <w:p>
      <w:pPr>
        <w:jc w:val="center"/>
        <w:pStyle w:val="Normal"/>
        <w:spacing w:line="240" w:lineRule="auto"/>
        <w:keepNext/>
      </w:pPr>
      <w:r>
        <w:rPr>
          <w:sz w:val="28"/>
          <w:rFonts w:ascii="Times New Roman" w:hAnsi="Times New Roman"/>
        </w:rPr>
        <w:t xml:space="preserve">Bilješka 12.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Uređaji, strojevi i oprema za ostale namjene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4.130,18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9.046,26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219,0</w:t>
            </w:r>
          </w:p>
        </w:tc>
      </w:tr>
    </w:tbl>
    <w:p>
      <w:pPr>
        <w:spacing w:before="0" w:after="0"/>
      </w:pPr>
    </w:p>
    <w:p>
      <w:r>
        <w:t xml:space="preserve">Povećanje rashoda za nabavu uređaja, strojeva i opreme za ostale namjene u odnosu na ostvareno u izvještajnom razdoblju prethodne godine proizlazi iz nabave opreme za opremu nabavljenu za Polivalentnu sportsku dvoranu koju je Grad Velika Gorica dao na upravljanje Ustanovi 19.05.2026. godine (puhač lišća, klupe bez naslona, drveni koševi, visokotlačni perač, čistač šikare).</w:t>
      </w:r>
    </w:p>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13.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15.054,07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Stanje dospjelih obveza na kraju izvještajnog razdoblja odnosi se na obveze za materijalne rashode i u kašnjenju su manje od 60 dana , te će iste biti podmirene u 07. mjesecu 2026. godine (odnosno u drugom izvještajnom razdoblju).</w:t>
      </w:r>
    </w:p>
    <w:p/>
    <w:p>
      <w:pPr>
        <w:jc w:val="center"/>
        <w:pStyle w:val="Normal"/>
        <w:spacing w:line="240" w:lineRule="auto"/>
        <w:keepNext/>
      </w:pPr>
      <w:r>
        <w:rPr>
          <w:sz w:val="28"/>
          <w:rFonts w:ascii="Times New Roman" w:hAnsi="Times New Roman"/>
        </w:rPr>
        <w:t xml:space="preserve">Bilješka 14.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Međusobne obveze subjekata općeg proračuna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V010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1.165,76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Međusobne obveze subjekata općeg proračuna odnose se na obveze za povrat u proračun-bolovanje na teret HZZO (konto 27612).</w:t>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5636605d05244b24" /></Relationships>
</file>